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8"/>
        <w:gridCol w:w="1152"/>
      </w:tblGrid>
      <w:tr w:rsidR="00C35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</w:trPr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C06" w:rsidRDefault="00C35C06">
            <w:pPr>
              <w:spacing w:before="504" w:line="345" w:lineRule="exact"/>
              <w:ind w:left="24"/>
              <w:rPr>
                <w:spacing w:val="-6"/>
                <w:w w:val="105"/>
                <w:sz w:val="28"/>
                <w:szCs w:val="28"/>
              </w:rPr>
            </w:pPr>
            <w:r>
              <w:rPr>
                <w:spacing w:val="-6"/>
                <w:w w:val="105"/>
                <w:sz w:val="28"/>
                <w:szCs w:val="28"/>
              </w:rPr>
              <w:t>Events, Programs and Special Projects Committee</w:t>
            </w:r>
          </w:p>
          <w:p w:rsidR="00C35C06" w:rsidRDefault="00C35C06">
            <w:pPr>
              <w:spacing w:line="378" w:lineRule="exact"/>
              <w:ind w:left="24"/>
              <w:rPr>
                <w:b/>
                <w:bCs/>
                <w:spacing w:val="-8"/>
                <w:w w:val="105"/>
                <w:sz w:val="40"/>
                <w:szCs w:val="40"/>
              </w:rPr>
            </w:pPr>
            <w:r>
              <w:rPr>
                <w:b/>
                <w:bCs/>
                <w:spacing w:val="-8"/>
                <w:w w:val="105"/>
                <w:sz w:val="40"/>
                <w:szCs w:val="40"/>
              </w:rPr>
              <w:t>Selection Criteria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35C06" w:rsidRDefault="006E3175">
            <w:pPr>
              <w:spacing w:before="2" w:after="14"/>
              <w:ind w:right="3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C06" w:rsidRDefault="00C35C06">
      <w:pPr>
        <w:spacing w:after="340" w:line="20" w:lineRule="exact"/>
      </w:pPr>
    </w:p>
    <w:p w:rsidR="00C35C06" w:rsidRDefault="00C35C06">
      <w:pPr>
        <w:spacing w:before="324" w:line="266" w:lineRule="auto"/>
        <w:ind w:right="360"/>
        <w:jc w:val="both"/>
        <w:rPr>
          <w:spacing w:val="-4"/>
          <w:w w:val="110"/>
          <w:sz w:val="22"/>
          <w:szCs w:val="22"/>
        </w:rPr>
      </w:pPr>
      <w:bookmarkStart w:id="0" w:name="_GoBack"/>
      <w:bookmarkEnd w:id="0"/>
      <w:r>
        <w:rPr>
          <w:b/>
          <w:bCs/>
          <w:spacing w:val="-9"/>
          <w:w w:val="105"/>
          <w:sz w:val="22"/>
          <w:szCs w:val="22"/>
        </w:rPr>
        <w:t>Committee Mission Statement:</w:t>
      </w:r>
      <w:r>
        <w:rPr>
          <w:spacing w:val="-9"/>
          <w:w w:val="110"/>
          <w:sz w:val="22"/>
          <w:szCs w:val="22"/>
        </w:rPr>
        <w:t xml:space="preserve"> The Special Projects, Programs and Events Committee will review, </w:t>
      </w:r>
      <w:r>
        <w:rPr>
          <w:spacing w:val="-11"/>
          <w:w w:val="110"/>
          <w:sz w:val="22"/>
          <w:szCs w:val="22"/>
        </w:rPr>
        <w:t xml:space="preserve">select, and assign proposed special projects, programs and events involving external communities in a </w:t>
      </w:r>
      <w:r>
        <w:rPr>
          <w:spacing w:val="-4"/>
          <w:w w:val="105"/>
          <w:sz w:val="22"/>
          <w:szCs w:val="22"/>
        </w:rPr>
        <w:t>manner that intentionally and strategically promotes the school’s mission, priorities and vision.</w:t>
      </w:r>
    </w:p>
    <w:p w:rsidR="00C35C06" w:rsidRDefault="00C35C06">
      <w:pPr>
        <w:spacing w:before="288" w:line="266" w:lineRule="auto"/>
        <w:ind w:right="72"/>
        <w:rPr>
          <w:spacing w:val="-4"/>
          <w:w w:val="105"/>
          <w:sz w:val="22"/>
          <w:szCs w:val="22"/>
        </w:rPr>
      </w:pPr>
      <w:r>
        <w:rPr>
          <w:b/>
          <w:bCs/>
          <w:spacing w:val="-10"/>
          <w:w w:val="105"/>
          <w:sz w:val="22"/>
          <w:szCs w:val="22"/>
        </w:rPr>
        <w:t>Operational Overview:</w:t>
      </w:r>
      <w:r>
        <w:rPr>
          <w:spacing w:val="-10"/>
          <w:w w:val="110"/>
          <w:sz w:val="22"/>
          <w:szCs w:val="22"/>
        </w:rPr>
        <w:t xml:space="preserve"> This committee will meet 3-4 times annually following designated submission </w:t>
      </w:r>
      <w:r>
        <w:rPr>
          <w:spacing w:val="-8"/>
          <w:w w:val="110"/>
          <w:sz w:val="22"/>
          <w:szCs w:val="22"/>
        </w:rPr>
        <w:t xml:space="preserve">deadlines to review proposals for special projects, programs and events. In preparation for each meeting, </w:t>
      </w:r>
      <w:r>
        <w:rPr>
          <w:spacing w:val="-12"/>
          <w:w w:val="110"/>
          <w:sz w:val="22"/>
          <w:szCs w:val="22"/>
        </w:rPr>
        <w:t xml:space="preserve">the Events Department will compile all submissions and forward them to committee members 1 week in </w:t>
      </w:r>
      <w:r>
        <w:rPr>
          <w:spacing w:val="-1"/>
          <w:w w:val="105"/>
          <w:sz w:val="22"/>
          <w:szCs w:val="22"/>
        </w:rPr>
        <w:t xml:space="preserve">advance. The Dean’s Office Director and Continuing Legal Education Director will facilitate each </w:t>
      </w:r>
      <w:r>
        <w:rPr>
          <w:spacing w:val="-7"/>
          <w:w w:val="110"/>
          <w:sz w:val="22"/>
          <w:szCs w:val="22"/>
        </w:rPr>
        <w:t xml:space="preserve">meeting to answer questions about calendar conflicts, staffing and resources and to take meeting notes. </w:t>
      </w:r>
      <w:r>
        <w:rPr>
          <w:spacing w:val="-4"/>
          <w:w w:val="105"/>
          <w:sz w:val="22"/>
          <w:szCs w:val="22"/>
        </w:rPr>
        <w:t>The Committee Members will select the projects, programs and events to be included on the school’s calendar, subject to the Dean’s final review and approval.</w:t>
      </w:r>
    </w:p>
    <w:p w:rsidR="00C35C06" w:rsidRDefault="00C35C06">
      <w:pPr>
        <w:spacing w:before="288" w:line="264" w:lineRule="auto"/>
        <w:rPr>
          <w:spacing w:val="-8"/>
          <w:w w:val="110"/>
          <w:sz w:val="22"/>
          <w:szCs w:val="22"/>
        </w:rPr>
      </w:pPr>
      <w:r>
        <w:rPr>
          <w:b/>
          <w:bCs/>
          <w:spacing w:val="-7"/>
          <w:w w:val="105"/>
          <w:sz w:val="22"/>
          <w:szCs w:val="22"/>
        </w:rPr>
        <w:t>Selection Criteria:</w:t>
      </w:r>
      <w:r>
        <w:rPr>
          <w:spacing w:val="-7"/>
          <w:w w:val="110"/>
          <w:sz w:val="22"/>
          <w:szCs w:val="22"/>
        </w:rPr>
        <w:t xml:space="preserve"> All programs and projects have the capacity to generate good will. The school has </w:t>
      </w:r>
      <w:r>
        <w:rPr>
          <w:spacing w:val="-8"/>
          <w:w w:val="110"/>
          <w:sz w:val="22"/>
          <w:szCs w:val="22"/>
        </w:rPr>
        <w:t xml:space="preserve">limited resources. The over-arching question for all projects, programs and events is whether or not a program/project will benefit the school at a strategic level. In order to be good stewards of tuition dollars, </w:t>
      </w:r>
      <w:r>
        <w:rPr>
          <w:spacing w:val="-9"/>
          <w:w w:val="110"/>
          <w:sz w:val="22"/>
          <w:szCs w:val="22"/>
        </w:rPr>
        <w:t xml:space="preserve">the school must inquire as to the following when choosing to commit staff, resources and/or money to </w:t>
      </w:r>
      <w:r>
        <w:rPr>
          <w:spacing w:val="-8"/>
          <w:w w:val="110"/>
          <w:sz w:val="22"/>
          <w:szCs w:val="22"/>
        </w:rPr>
        <w:t>programs and projects: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before="216" w:line="266" w:lineRule="auto"/>
        <w:rPr>
          <w:spacing w:val="-8"/>
          <w:w w:val="110"/>
          <w:sz w:val="22"/>
          <w:szCs w:val="22"/>
        </w:rPr>
      </w:pPr>
      <w:r>
        <w:rPr>
          <w:spacing w:val="-4"/>
          <w:w w:val="110"/>
          <w:sz w:val="22"/>
          <w:szCs w:val="22"/>
        </w:rPr>
        <w:t xml:space="preserve">Is there an identified need (aka market) for this program or project? How is this </w:t>
      </w:r>
      <w:r>
        <w:rPr>
          <w:spacing w:val="-10"/>
          <w:w w:val="110"/>
          <w:sz w:val="22"/>
          <w:szCs w:val="22"/>
        </w:rPr>
        <w:t xml:space="preserve">program/project serving specific needs of the community or core constituency? What need(s) </w:t>
      </w:r>
      <w:r>
        <w:rPr>
          <w:spacing w:val="-8"/>
          <w:w w:val="110"/>
          <w:sz w:val="22"/>
          <w:szCs w:val="22"/>
        </w:rPr>
        <w:t>will be met?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before="72" w:line="264" w:lineRule="auto"/>
        <w:ind w:right="648"/>
        <w:rPr>
          <w:spacing w:val="-8"/>
          <w:w w:val="110"/>
          <w:sz w:val="22"/>
          <w:szCs w:val="22"/>
        </w:rPr>
      </w:pPr>
      <w:r>
        <w:rPr>
          <w:spacing w:val="-13"/>
          <w:w w:val="110"/>
          <w:sz w:val="22"/>
          <w:szCs w:val="22"/>
        </w:rPr>
        <w:t xml:space="preserve">How will this particular project, program or event directly &amp; significantly enhance the </w:t>
      </w:r>
      <w:r>
        <w:rPr>
          <w:spacing w:val="-8"/>
          <w:w w:val="110"/>
          <w:sz w:val="22"/>
          <w:szCs w:val="22"/>
        </w:rPr>
        <w:t>educational experience of our law students?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line="264" w:lineRule="auto"/>
        <w:ind w:right="576"/>
        <w:rPr>
          <w:spacing w:val="-10"/>
          <w:w w:val="110"/>
          <w:sz w:val="22"/>
          <w:szCs w:val="22"/>
        </w:rPr>
      </w:pPr>
      <w:r>
        <w:rPr>
          <w:spacing w:val="-10"/>
          <w:w w:val="110"/>
          <w:sz w:val="22"/>
          <w:szCs w:val="22"/>
        </w:rPr>
        <w:t>Will this particular project, program or event result in net revenue to the school after factoring in the expense of staffing, resources and overhead, as well as direct expenses?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line="268" w:lineRule="auto"/>
        <w:ind w:right="648"/>
        <w:rPr>
          <w:spacing w:val="-8"/>
          <w:w w:val="110"/>
          <w:sz w:val="22"/>
          <w:szCs w:val="22"/>
        </w:rPr>
      </w:pPr>
      <w:r>
        <w:rPr>
          <w:spacing w:val="-12"/>
          <w:w w:val="110"/>
          <w:sz w:val="22"/>
          <w:szCs w:val="22"/>
        </w:rPr>
        <w:t xml:space="preserve">Is this particular project, program or event likely to result in a financial gift or will this </w:t>
      </w:r>
      <w:r>
        <w:rPr>
          <w:spacing w:val="-8"/>
          <w:w w:val="110"/>
          <w:sz w:val="22"/>
          <w:szCs w:val="22"/>
        </w:rPr>
        <w:t>project, program or event support a significant on-going financial gift?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line="264" w:lineRule="auto"/>
        <w:ind w:right="360"/>
        <w:rPr>
          <w:spacing w:val="-8"/>
          <w:w w:val="110"/>
          <w:sz w:val="22"/>
          <w:szCs w:val="22"/>
        </w:rPr>
      </w:pPr>
      <w:r>
        <w:rPr>
          <w:spacing w:val="-14"/>
          <w:w w:val="110"/>
          <w:sz w:val="22"/>
          <w:szCs w:val="22"/>
        </w:rPr>
        <w:t xml:space="preserve">Will this particular project, program or event likely result in job placement or professional </w:t>
      </w:r>
      <w:r>
        <w:rPr>
          <w:spacing w:val="-8"/>
          <w:w w:val="110"/>
          <w:sz w:val="22"/>
          <w:szCs w:val="22"/>
        </w:rPr>
        <w:t>development contacts for our students and recent alumni?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line="266" w:lineRule="auto"/>
        <w:ind w:right="360"/>
        <w:rPr>
          <w:spacing w:val="-8"/>
          <w:w w:val="110"/>
          <w:sz w:val="22"/>
          <w:szCs w:val="22"/>
        </w:rPr>
      </w:pPr>
      <w:r>
        <w:rPr>
          <w:spacing w:val="-6"/>
          <w:w w:val="110"/>
          <w:sz w:val="22"/>
          <w:szCs w:val="22"/>
        </w:rPr>
        <w:t xml:space="preserve">Will this particular project, program or event promote a social justice cause in the </w:t>
      </w:r>
      <w:r>
        <w:rPr>
          <w:spacing w:val="-12"/>
          <w:w w:val="110"/>
          <w:sz w:val="22"/>
          <w:szCs w:val="22"/>
        </w:rPr>
        <w:t xml:space="preserve">community? If so, has the need for this particular project, program or event been clearly </w:t>
      </w:r>
      <w:r>
        <w:rPr>
          <w:spacing w:val="-13"/>
          <w:w w:val="110"/>
          <w:sz w:val="22"/>
          <w:szCs w:val="22"/>
        </w:rPr>
        <w:t xml:space="preserve">established and identified by the community? What measurable goal is to be achieved by </w:t>
      </w:r>
      <w:r>
        <w:rPr>
          <w:spacing w:val="-8"/>
          <w:w w:val="110"/>
          <w:sz w:val="22"/>
          <w:szCs w:val="22"/>
        </w:rPr>
        <w:t>executing this project, program or event?</w:t>
      </w:r>
    </w:p>
    <w:p w:rsidR="00C35C06" w:rsidRDefault="00C35C06">
      <w:pPr>
        <w:numPr>
          <w:ilvl w:val="0"/>
          <w:numId w:val="1"/>
        </w:numPr>
        <w:tabs>
          <w:tab w:val="clear" w:pos="360"/>
          <w:tab w:val="num" w:pos="1152"/>
        </w:tabs>
        <w:spacing w:line="266" w:lineRule="auto"/>
        <w:rPr>
          <w:spacing w:val="-8"/>
          <w:w w:val="110"/>
          <w:sz w:val="22"/>
          <w:szCs w:val="22"/>
        </w:rPr>
      </w:pPr>
      <w:r>
        <w:rPr>
          <w:spacing w:val="-8"/>
          <w:w w:val="110"/>
          <w:sz w:val="22"/>
          <w:szCs w:val="22"/>
        </w:rPr>
        <w:t xml:space="preserve">Will this project, program or event duplicate efforts of others here at the school or in the </w:t>
      </w:r>
      <w:r>
        <w:rPr>
          <w:spacing w:val="-13"/>
          <w:w w:val="110"/>
          <w:sz w:val="22"/>
          <w:szCs w:val="22"/>
        </w:rPr>
        <w:t xml:space="preserve">community? Is it possible to consolidate or collaborate with established school or community </w:t>
      </w:r>
      <w:r>
        <w:rPr>
          <w:spacing w:val="-8"/>
          <w:w w:val="110"/>
          <w:sz w:val="22"/>
          <w:szCs w:val="22"/>
        </w:rPr>
        <w:t>activities?</w:t>
      </w:r>
    </w:p>
    <w:p w:rsidR="00C35C06" w:rsidRDefault="00C35C06">
      <w:pPr>
        <w:spacing w:before="180"/>
        <w:jc w:val="center"/>
        <w:rPr>
          <w:spacing w:val="-6"/>
          <w:w w:val="110"/>
          <w:sz w:val="17"/>
          <w:szCs w:val="17"/>
        </w:rPr>
      </w:pPr>
      <w:r>
        <w:rPr>
          <w:spacing w:val="-6"/>
          <w:w w:val="110"/>
          <w:sz w:val="17"/>
          <w:szCs w:val="17"/>
        </w:rPr>
        <w:t xml:space="preserve">901 12th Avenue P.O. Box 222000 Seattle, WA 981 22-1090 </w:t>
      </w:r>
      <w:hyperlink r:id="rId7" w:history="1">
        <w:r>
          <w:rPr>
            <w:color w:val="0000FF"/>
            <w:spacing w:val="-6"/>
            <w:w w:val="110"/>
            <w:sz w:val="17"/>
            <w:szCs w:val="17"/>
            <w:u w:val="single"/>
          </w:rPr>
          <w:t>www.seattleu.edu</w:t>
        </w:r>
      </w:hyperlink>
      <w:r>
        <w:rPr>
          <w:spacing w:val="-6"/>
          <w:w w:val="110"/>
          <w:sz w:val="17"/>
          <w:szCs w:val="17"/>
        </w:rPr>
        <w:t xml:space="preserve"> Tel.: (206) 398-4092</w:t>
      </w:r>
    </w:p>
    <w:sectPr w:rsidR="00C35C06">
      <w:pgSz w:w="12240" w:h="15840"/>
      <w:pgMar w:top="564" w:right="1383" w:bottom="49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F8B3"/>
    <w:multiLevelType w:val="singleLevel"/>
    <w:tmpl w:val="3809E8EA"/>
    <w:lvl w:ilvl="0">
      <w:start w:val="1"/>
      <w:numFmt w:val="decimal"/>
      <w:lvlText w:val="%1."/>
      <w:lvlJc w:val="left"/>
      <w:pPr>
        <w:tabs>
          <w:tab w:val="num" w:pos="360"/>
        </w:tabs>
        <w:ind w:left="1152" w:hanging="360"/>
      </w:pPr>
      <w:rPr>
        <w:rFonts w:cs="Times New Roman"/>
        <w:snapToGrid/>
        <w:spacing w:val="-4"/>
        <w:w w:val="11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0"/>
    <w:rsid w:val="003E30AF"/>
    <w:rsid w:val="006E3175"/>
    <w:rsid w:val="00B34740"/>
    <w:rsid w:val="00C35C06"/>
    <w:rsid w:val="00C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attle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4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O'Neil, Rebecca</dc:creator>
  <cp:lastModifiedBy>Parker O'Neil, Rebecca</cp:lastModifiedBy>
  <cp:revision>2</cp:revision>
  <cp:lastPrinted>2013-01-08T19:40:00Z</cp:lastPrinted>
  <dcterms:created xsi:type="dcterms:W3CDTF">2013-01-08T19:40:00Z</dcterms:created>
  <dcterms:modified xsi:type="dcterms:W3CDTF">2013-01-08T19:40:00Z</dcterms:modified>
</cp:coreProperties>
</file>